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от  </w:t>
      </w:r>
      <w:r w:rsidR="000659AA">
        <w:rPr>
          <w:rFonts w:ascii="Times New Roman" w:hAnsi="Times New Roman" w:cs="Times New Roman"/>
          <w:sz w:val="24"/>
          <w:szCs w:val="24"/>
        </w:rPr>
        <w:t>2</w:t>
      </w:r>
      <w:r w:rsidR="000317C5">
        <w:rPr>
          <w:rFonts w:ascii="Times New Roman" w:hAnsi="Times New Roman" w:cs="Times New Roman"/>
          <w:sz w:val="24"/>
          <w:szCs w:val="24"/>
        </w:rPr>
        <w:t>7 сентября</w:t>
      </w:r>
      <w:r w:rsidR="000659AA">
        <w:rPr>
          <w:rFonts w:ascii="Times New Roman" w:hAnsi="Times New Roman" w:cs="Times New Roman"/>
          <w:sz w:val="24"/>
          <w:szCs w:val="24"/>
        </w:rPr>
        <w:t xml:space="preserve">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0317C5">
        <w:rPr>
          <w:rFonts w:ascii="Times New Roman" w:hAnsi="Times New Roman" w:cs="Times New Roman"/>
          <w:sz w:val="24"/>
          <w:szCs w:val="24"/>
        </w:rPr>
        <w:t>36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62A" w:rsidRDefault="00B1362A" w:rsidP="00B1362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B1362A" w:rsidRPr="00A81585" w:rsidRDefault="00B1362A" w:rsidP="00B1362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16 </w:t>
      </w:r>
      <w:bookmarkStart w:id="0" w:name="_GoBack"/>
      <w:bookmarkEnd w:id="0"/>
    </w:p>
    <w:p w:rsidR="00B1362A" w:rsidRPr="00CC6292" w:rsidRDefault="00B1362A" w:rsidP="00B136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62A" w:rsidRPr="006C4BD7" w:rsidRDefault="00B1362A" w:rsidP="00B1362A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b w:val="0"/>
          <w:sz w:val="24"/>
        </w:rPr>
        <w:t>, в целях приведения объемов финансирования с фактическими объемами</w:t>
      </w:r>
    </w:p>
    <w:p w:rsidR="00B1362A" w:rsidRDefault="00B1362A" w:rsidP="00B1362A">
      <w:pPr>
        <w:widowControl w:val="0"/>
        <w:autoSpaceDE w:val="0"/>
        <w:autoSpaceDN w:val="0"/>
        <w:jc w:val="center"/>
      </w:pPr>
    </w:p>
    <w:p w:rsidR="00B1362A" w:rsidRPr="00B1362A" w:rsidRDefault="00B1362A" w:rsidP="00B1362A">
      <w:pPr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1362A">
        <w:rPr>
          <w:rFonts w:ascii="Times New Roman" w:hAnsi="Times New Roman"/>
          <w:b/>
          <w:sz w:val="24"/>
          <w:szCs w:val="28"/>
        </w:rPr>
        <w:t>Администрация Боровского сельского поселения  постановляет:</w:t>
      </w:r>
    </w:p>
    <w:p w:rsidR="00B1362A" w:rsidRPr="003A5A54" w:rsidRDefault="00B1362A" w:rsidP="00B1362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униципальную программу «Формирования современной городской среды на территории </w:t>
      </w:r>
      <w:r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:rsidR="00B1362A" w:rsidRDefault="00B1362A" w:rsidP="00B1362A">
      <w:pPr>
        <w:pStyle w:val="ac"/>
        <w:jc w:val="both"/>
        <w:rPr>
          <w:rFonts w:ascii="Times New Roman" w:hAnsi="Times New Roman"/>
          <w:sz w:val="24"/>
          <w:szCs w:val="28"/>
        </w:rPr>
      </w:pPr>
    </w:p>
    <w:p w:rsidR="00B1362A" w:rsidRDefault="00B1362A" w:rsidP="00B1362A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B1362A" w:rsidRPr="00267A3C" w:rsidRDefault="00B1362A" w:rsidP="00B1362A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«УТВЕРЖДЕНА</w:t>
      </w:r>
    </w:p>
    <w:p w:rsidR="00B1362A" w:rsidRDefault="00B1362A" w:rsidP="00B136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B1362A" w:rsidRDefault="00B1362A" w:rsidP="00B136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>Боровского сельского поселения</w:t>
      </w:r>
    </w:p>
    <w:p w:rsidR="008A0094" w:rsidRDefault="00B1362A" w:rsidP="00B1362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№36 от 27.09.2018г.</w:t>
      </w:r>
      <w:r w:rsidRPr="00F147F9">
        <w:rPr>
          <w:rFonts w:ascii="Times New Roman" w:hAnsi="Times New Roman"/>
          <w:sz w:val="24"/>
          <w:szCs w:val="24"/>
        </w:rPr>
        <w:t xml:space="preserve">  </w:t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1236"/>
              <w:gridCol w:w="1477"/>
              <w:gridCol w:w="1194"/>
              <w:gridCol w:w="1792"/>
            </w:tblGrid>
            <w:tr w:rsidR="00933A68" w:rsidTr="00933A68">
              <w:tc>
                <w:tcPr>
                  <w:tcW w:w="915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36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463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3A18FE" w:rsidTr="00933A68">
              <w:tc>
                <w:tcPr>
                  <w:tcW w:w="915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792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3A18FE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557,530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7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85D3C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114,54</w:t>
                  </w:r>
                  <w:r w:rsidR="00C10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36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36" w:type="dxa"/>
                </w:tcPr>
                <w:p w:rsidR="003A18FE" w:rsidRDefault="003A18FE" w:rsidP="003A18FE">
                  <w:pPr>
                    <w:jc w:val="center"/>
                  </w:pPr>
                  <w:r w:rsidRPr="000B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4442,990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3A18FE" w:rsidRDefault="003A18FE" w:rsidP="003A18FE">
                  <w:pPr>
                    <w:jc w:val="center"/>
                  </w:pPr>
                  <w:r w:rsidRPr="000B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4442,990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36" w:type="dxa"/>
                </w:tcPr>
                <w:p w:rsidR="003A18FE" w:rsidRDefault="003A18FE" w:rsidP="003A18FE">
                  <w:pPr>
                    <w:jc w:val="center"/>
                  </w:pPr>
                  <w:r w:rsidRPr="000B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4442,990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F159A3">
              <w:tc>
                <w:tcPr>
                  <w:tcW w:w="915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36" w:type="dxa"/>
                  <w:vAlign w:val="center"/>
                </w:tcPr>
                <w:p w:rsidR="00C51DD6" w:rsidRDefault="005D00BC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329,49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7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0957,500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92" w:type="dxa"/>
                  <w:vAlign w:val="center"/>
                </w:tcPr>
                <w:p w:rsidR="00C51DD6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E3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22217,5</w:t>
            </w:r>
            <w:r w:rsidR="0006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в общем количестве общественных территорий, подлежащих 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691/пр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</w:t>
      </w:r>
      <w:r w:rsidR="009C1B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</w:t>
      </w:r>
      <w:r w:rsidRPr="00661EB6">
        <w:rPr>
          <w:rFonts w:ascii="Times New Roman" w:hAnsi="Times New Roman" w:cs="Times New Roman"/>
          <w:sz w:val="24"/>
          <w:szCs w:val="24"/>
        </w:rPr>
        <w:t xml:space="preserve">путем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</w:t>
      </w:r>
      <w:r w:rsidR="0087671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2018-2022 годах запланированы мероприятия по благоустройству </w:t>
      </w:r>
      <w:r w:rsidR="00CC24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бустройство тротуаров, пешеходных дорожек ( в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>оздание велопарковок,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</w:t>
      </w:r>
      <w:r w:rsidR="00C107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 xml:space="preserve">ечения нормального  отдыха жителей </w:t>
      </w:r>
      <w:r w:rsidR="00253D9A">
        <w:rPr>
          <w:rFonts w:ascii="Times New Roman" w:hAnsi="Times New Roman" w:cs="Times New Roman"/>
          <w:sz w:val="24"/>
          <w:szCs w:val="24"/>
        </w:rPr>
        <w:lastRenderedPageBreak/>
        <w:t>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проведённой инвентаризации на территории Боровского сельского поселения насчитывается 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4B4" w:rsidRPr="00C01FA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территорий общей площадью </w:t>
      </w:r>
      <w:r w:rsidR="00E97153">
        <w:rPr>
          <w:rFonts w:ascii="Times New Roman" w:hAnsi="Times New Roman" w:cs="Times New Roman"/>
          <w:sz w:val="24"/>
          <w:szCs w:val="24"/>
          <w:highlight w:val="yellow"/>
        </w:rPr>
        <w:t>106,45</w:t>
      </w:r>
      <w:r>
        <w:rPr>
          <w:rFonts w:ascii="Times New Roman" w:hAnsi="Times New Roman" w:cs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4, частично благоустроенных – </w:t>
      </w:r>
      <w:r w:rsidR="00C01F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C0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r w:rsidR="00C0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</w:t>
      </w:r>
      <w:r w:rsidR="00C01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софинансированию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51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A13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B65A13" w:rsidRPr="00661EB6" w:rsidRDefault="00B65A13" w:rsidP="00B65A1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51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850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  <w:r w:rsidR="00B7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C1074B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114,540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048" w:rsidRDefault="00B72048" w:rsidP="00B72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</w:t>
      </w: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E6C9E" w:rsidRPr="00363451" w:rsidRDefault="00BE6C9E" w:rsidP="00B7204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F159A3" w:rsidRDefault="00F159A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80" w:type="dxa"/>
        <w:tblInd w:w="601" w:type="dxa"/>
        <w:tblLook w:val="04A0" w:firstRow="1" w:lastRow="0" w:firstColumn="1" w:lastColumn="0" w:noHBand="0" w:noVBand="1"/>
      </w:tblPr>
      <w:tblGrid>
        <w:gridCol w:w="960"/>
        <w:gridCol w:w="6100"/>
        <w:gridCol w:w="2220"/>
      </w:tblGrid>
      <w:tr w:rsidR="000659AA" w:rsidRPr="000659AA" w:rsidTr="000659A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по ул. Советская д. 15</w:t>
            </w:r>
            <w:r w:rsidR="00C1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(частично)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Октябрьская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A" w:rsidRPr="000659AA" w:rsidRDefault="00E2663D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Советская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Лесопарковая зона вдоль ул. Октябрьская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940"/>
        <w:gridCol w:w="5946"/>
        <w:gridCol w:w="2168"/>
        <w:gridCol w:w="1448"/>
      </w:tblGrid>
      <w:tr w:rsidR="00584A26" w:rsidRPr="00584A26" w:rsidTr="00584A26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Надежды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048" w:rsidRDefault="00B7204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софинансируемых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6"/>
          <w:headerReference w:type="first" r:id="rId17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Оборудование велопарковки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E53858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  толщ.15см,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034A" w:rsidRDefault="003E034A" w:rsidP="003E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3E034A" w:rsidRDefault="003E034A" w:rsidP="003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1836"/>
        <w:gridCol w:w="1690"/>
        <w:gridCol w:w="656"/>
        <w:gridCol w:w="776"/>
        <w:gridCol w:w="1510"/>
        <w:gridCol w:w="819"/>
        <w:gridCol w:w="1321"/>
        <w:gridCol w:w="1161"/>
        <w:gridCol w:w="1177"/>
        <w:gridCol w:w="1119"/>
        <w:gridCol w:w="1239"/>
        <w:gridCol w:w="1295"/>
        <w:gridCol w:w="42"/>
      </w:tblGrid>
      <w:tr w:rsidR="003E034A" w:rsidTr="003E034A">
        <w:trPr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3E034A" w:rsidTr="003E034A">
        <w:trPr>
          <w:gridAfter w:val="1"/>
          <w:wAfter w:w="13" w:type="pct"/>
          <w:trHeight w:val="501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Рз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7A1005" w:rsidTr="007A1005">
        <w:trPr>
          <w:gridAfter w:val="1"/>
          <w:wAfter w:w="13" w:type="pct"/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hAnsi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«Формирования современной городской среды на территории 201</w:t>
            </w:r>
            <w:r>
              <w:rPr>
                <w:rFonts w:ascii="Times New Roman" w:hAnsi="Times New Roman"/>
                <w:color w:val="000000"/>
                <w:lang w:eastAsia="ru-RU"/>
              </w:rPr>
              <w:t>8-2022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C3D86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4557,53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C3D86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r w:rsidRPr="00876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r w:rsidRPr="00876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r w:rsidRPr="00876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05" w:rsidRPr="000C3D86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22329,49</w:t>
            </w:r>
          </w:p>
        </w:tc>
      </w:tr>
      <w:tr w:rsidR="007A1005" w:rsidTr="007A1005">
        <w:trPr>
          <w:gridAfter w:val="1"/>
          <w:wAfter w:w="13" w:type="pct"/>
          <w:trHeight w:val="648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hAnsi="Times New Roman"/>
                <w:color w:val="00000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Боровского сельского поселения</w:t>
            </w:r>
            <w:r w:rsidRPr="0008011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9D0D89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8011C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8011C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7A1005" w:rsidRPr="00FE5EC5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Pr="009742C1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Pr="009742C1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Default="007A1005" w:rsidP="007A1005">
            <w:pPr>
              <w:jc w:val="center"/>
            </w:pPr>
            <w:r w:rsidRPr="00BE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Default="007A1005" w:rsidP="007A1005">
            <w:pPr>
              <w:jc w:val="center"/>
            </w:pPr>
            <w:r w:rsidRPr="00BE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Default="007A1005" w:rsidP="007A1005">
            <w:pPr>
              <w:jc w:val="center"/>
            </w:pPr>
            <w:r w:rsidRPr="00BE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05" w:rsidRPr="009742C1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1257,450</w:t>
            </w:r>
          </w:p>
        </w:tc>
      </w:tr>
      <w:tr w:rsidR="003E034A" w:rsidTr="006D1563">
        <w:trPr>
          <w:gridAfter w:val="1"/>
          <w:wAfter w:w="13" w:type="pct"/>
          <w:trHeight w:val="436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Республики Карелия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1257,450</w:t>
            </w:r>
          </w:p>
        </w:tc>
      </w:tr>
      <w:tr w:rsidR="003E034A" w:rsidTr="006D1563">
        <w:trPr>
          <w:gridAfter w:val="1"/>
          <w:wAfter w:w="13" w:type="pct"/>
          <w:trHeight w:val="489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19700,050</w:t>
            </w:r>
          </w:p>
        </w:tc>
      </w:tr>
      <w:tr w:rsidR="003E034A" w:rsidTr="003E034A">
        <w:trPr>
          <w:gridAfter w:val="1"/>
          <w:wAfter w:w="13" w:type="pct"/>
          <w:trHeight w:val="130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поступления*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C1074B" w:rsidP="0055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E351DD" w:rsidRDefault="007A1005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114,54</w:t>
            </w: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Занимаемая площадь, кв.м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(Др)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«Велопарковка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(ртутный,  галогеновый, люминисцентный,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2A" w:rsidRDefault="00B1362A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63E5A7" wp14:editId="196E0107">
            <wp:simplePos x="0" y="0"/>
            <wp:positionH relativeFrom="column">
              <wp:posOffset>3055620</wp:posOffset>
            </wp:positionH>
            <wp:positionV relativeFrom="paragraph">
              <wp:posOffset>120015</wp:posOffset>
            </wp:positionV>
            <wp:extent cx="1380490" cy="132778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2A" w:rsidRDefault="00B1362A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62A" w:rsidRDefault="00B1362A" w:rsidP="00B1362A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1362A" w:rsidRDefault="00B1362A" w:rsidP="00B1362A">
      <w:pPr>
        <w:pStyle w:val="ac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Глава </w:t>
      </w:r>
    </w:p>
    <w:p w:rsidR="00B1362A" w:rsidRPr="006C4BD7" w:rsidRDefault="00B1362A" w:rsidP="00B1362A">
      <w:pPr>
        <w:pStyle w:val="ac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p w:rsidR="00B1362A" w:rsidRPr="00447CC7" w:rsidRDefault="00B1362A" w:rsidP="00B136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362A" w:rsidRDefault="00B1362A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362A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BA" w:rsidRDefault="006864BA" w:rsidP="001004E8">
      <w:pPr>
        <w:spacing w:after="0" w:line="240" w:lineRule="auto"/>
      </w:pPr>
      <w:r>
        <w:separator/>
      </w:r>
    </w:p>
  </w:endnote>
  <w:endnote w:type="continuationSeparator" w:id="0">
    <w:p w:rsidR="006864BA" w:rsidRDefault="006864BA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BA" w:rsidRDefault="006864BA" w:rsidP="001004E8">
      <w:pPr>
        <w:spacing w:after="0" w:line="240" w:lineRule="auto"/>
      </w:pPr>
      <w:r>
        <w:separator/>
      </w:r>
    </w:p>
  </w:footnote>
  <w:footnote w:type="continuationSeparator" w:id="0">
    <w:p w:rsidR="006864BA" w:rsidRDefault="006864BA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831664201"/>
    </w:sdtPr>
    <w:sdtEndPr/>
    <w:sdtContent>
      <w:p w:rsidR="0006614C" w:rsidRPr="001004E8" w:rsidRDefault="0006614C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 w:rsidR="00B1362A">
          <w:rPr>
            <w:noProof/>
            <w:sz w:val="22"/>
            <w:szCs w:val="22"/>
          </w:rPr>
          <w:t>20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14C" w:rsidRDefault="0006614C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11BC0"/>
    <w:rsid w:val="000235D4"/>
    <w:rsid w:val="00023722"/>
    <w:rsid w:val="000317C5"/>
    <w:rsid w:val="00035346"/>
    <w:rsid w:val="000476B6"/>
    <w:rsid w:val="000659AA"/>
    <w:rsid w:val="0006614C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36C1A"/>
    <w:rsid w:val="00145B82"/>
    <w:rsid w:val="001572FC"/>
    <w:rsid w:val="00165105"/>
    <w:rsid w:val="00166842"/>
    <w:rsid w:val="00173F30"/>
    <w:rsid w:val="0018569E"/>
    <w:rsid w:val="0019471E"/>
    <w:rsid w:val="001A480F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A1B37"/>
    <w:rsid w:val="002B02D6"/>
    <w:rsid w:val="002B3322"/>
    <w:rsid w:val="002C258F"/>
    <w:rsid w:val="002C3D3C"/>
    <w:rsid w:val="003120AF"/>
    <w:rsid w:val="00347F1D"/>
    <w:rsid w:val="00347FEE"/>
    <w:rsid w:val="003560CE"/>
    <w:rsid w:val="00363451"/>
    <w:rsid w:val="00386BAA"/>
    <w:rsid w:val="0038715C"/>
    <w:rsid w:val="003915BB"/>
    <w:rsid w:val="003A18FE"/>
    <w:rsid w:val="003B2130"/>
    <w:rsid w:val="003B521D"/>
    <w:rsid w:val="003E034A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483C"/>
    <w:rsid w:val="00555AB3"/>
    <w:rsid w:val="00561950"/>
    <w:rsid w:val="00570FCB"/>
    <w:rsid w:val="00577706"/>
    <w:rsid w:val="00584A26"/>
    <w:rsid w:val="00596A71"/>
    <w:rsid w:val="005B1D04"/>
    <w:rsid w:val="005C57C6"/>
    <w:rsid w:val="005D00BC"/>
    <w:rsid w:val="005D2F90"/>
    <w:rsid w:val="005E4958"/>
    <w:rsid w:val="005F7D7C"/>
    <w:rsid w:val="0063144B"/>
    <w:rsid w:val="00661EB6"/>
    <w:rsid w:val="00674915"/>
    <w:rsid w:val="00676D59"/>
    <w:rsid w:val="006864BA"/>
    <w:rsid w:val="006C2602"/>
    <w:rsid w:val="006C4BD7"/>
    <w:rsid w:val="006D1563"/>
    <w:rsid w:val="006E35D0"/>
    <w:rsid w:val="00703D28"/>
    <w:rsid w:val="00721663"/>
    <w:rsid w:val="00725CF8"/>
    <w:rsid w:val="00736AF1"/>
    <w:rsid w:val="0075355B"/>
    <w:rsid w:val="00762B1E"/>
    <w:rsid w:val="00774FFB"/>
    <w:rsid w:val="00783F25"/>
    <w:rsid w:val="00786E4E"/>
    <w:rsid w:val="0079242B"/>
    <w:rsid w:val="007A1005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76713"/>
    <w:rsid w:val="0088121F"/>
    <w:rsid w:val="008A0094"/>
    <w:rsid w:val="008E1852"/>
    <w:rsid w:val="009038FE"/>
    <w:rsid w:val="00933A68"/>
    <w:rsid w:val="00933FB8"/>
    <w:rsid w:val="00935AB0"/>
    <w:rsid w:val="00945A77"/>
    <w:rsid w:val="00954657"/>
    <w:rsid w:val="00977191"/>
    <w:rsid w:val="00985D3C"/>
    <w:rsid w:val="00985EF7"/>
    <w:rsid w:val="009C1BA4"/>
    <w:rsid w:val="009D19FA"/>
    <w:rsid w:val="009F01E1"/>
    <w:rsid w:val="00A12950"/>
    <w:rsid w:val="00A14D70"/>
    <w:rsid w:val="00A15917"/>
    <w:rsid w:val="00A263F0"/>
    <w:rsid w:val="00A26A8A"/>
    <w:rsid w:val="00A70CDD"/>
    <w:rsid w:val="00AA077E"/>
    <w:rsid w:val="00AA64FB"/>
    <w:rsid w:val="00AC30D1"/>
    <w:rsid w:val="00AC591F"/>
    <w:rsid w:val="00AC7B82"/>
    <w:rsid w:val="00AD5927"/>
    <w:rsid w:val="00AF27E1"/>
    <w:rsid w:val="00B06402"/>
    <w:rsid w:val="00B1362A"/>
    <w:rsid w:val="00B2426C"/>
    <w:rsid w:val="00B368E2"/>
    <w:rsid w:val="00B44648"/>
    <w:rsid w:val="00B65A13"/>
    <w:rsid w:val="00B72048"/>
    <w:rsid w:val="00B80256"/>
    <w:rsid w:val="00B92E0E"/>
    <w:rsid w:val="00B93050"/>
    <w:rsid w:val="00BA5630"/>
    <w:rsid w:val="00BB319C"/>
    <w:rsid w:val="00BC3D4A"/>
    <w:rsid w:val="00BC7C75"/>
    <w:rsid w:val="00BD34FD"/>
    <w:rsid w:val="00BE01F7"/>
    <w:rsid w:val="00BE31CC"/>
    <w:rsid w:val="00BE6C9E"/>
    <w:rsid w:val="00BF2E7E"/>
    <w:rsid w:val="00BF79F7"/>
    <w:rsid w:val="00C01FAB"/>
    <w:rsid w:val="00C1074B"/>
    <w:rsid w:val="00C21333"/>
    <w:rsid w:val="00C37628"/>
    <w:rsid w:val="00C478C1"/>
    <w:rsid w:val="00C51DD6"/>
    <w:rsid w:val="00C56431"/>
    <w:rsid w:val="00C627D3"/>
    <w:rsid w:val="00CA2231"/>
    <w:rsid w:val="00CB2562"/>
    <w:rsid w:val="00CB63EA"/>
    <w:rsid w:val="00CC24B4"/>
    <w:rsid w:val="00CD036A"/>
    <w:rsid w:val="00CD62EE"/>
    <w:rsid w:val="00CE072A"/>
    <w:rsid w:val="00CF4064"/>
    <w:rsid w:val="00D27279"/>
    <w:rsid w:val="00D5464E"/>
    <w:rsid w:val="00D56E13"/>
    <w:rsid w:val="00D66560"/>
    <w:rsid w:val="00D75C36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DF7AA7"/>
    <w:rsid w:val="00E15265"/>
    <w:rsid w:val="00E2663D"/>
    <w:rsid w:val="00E32D3E"/>
    <w:rsid w:val="00E351DD"/>
    <w:rsid w:val="00E42EB4"/>
    <w:rsid w:val="00E53858"/>
    <w:rsid w:val="00E7769E"/>
    <w:rsid w:val="00E84095"/>
    <w:rsid w:val="00E86AD9"/>
    <w:rsid w:val="00E97153"/>
    <w:rsid w:val="00EB1C9E"/>
    <w:rsid w:val="00EC00DE"/>
    <w:rsid w:val="00EC7360"/>
    <w:rsid w:val="00ED10F1"/>
    <w:rsid w:val="00EE1676"/>
    <w:rsid w:val="00F037DB"/>
    <w:rsid w:val="00F05C06"/>
    <w:rsid w:val="00F159A3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321ADC-0334-4522-A5E6-FA25FA0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locked/>
    <w:rsid w:val="00B1362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1362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42</Pages>
  <Words>12611</Words>
  <Characters>71885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84328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Lenovo</cp:lastModifiedBy>
  <cp:revision>5</cp:revision>
  <cp:lastPrinted>2019-01-11T07:04:00Z</cp:lastPrinted>
  <dcterms:created xsi:type="dcterms:W3CDTF">2018-10-01T09:44:00Z</dcterms:created>
  <dcterms:modified xsi:type="dcterms:W3CDTF">2021-03-02T11:36:00Z</dcterms:modified>
</cp:coreProperties>
</file>